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40"/>
      </w:pPr>
      <w:r>
        <w:rPr>
          <w:rFonts w:ascii="Calibri" w:hAnsi="Calibri"/>
          <w:b/>
          <w:i w:val="0"/>
          <w:color w:val="39B991"/>
          <w:sz w:val="18"/>
        </w:rPr>
        <w:t>FIELD LAB · 04 · Learn | Measure + Adapt</w:t>
      </w:r>
    </w:p>
    <w:p>
      <w:pPr>
        <w:spacing w:after="100"/>
      </w:pPr>
      <w:r>
        <w:rPr>
          <w:rFonts w:ascii="Calibri" w:hAnsi="Calibri"/>
          <w:b/>
          <w:i w:val="0"/>
          <w:color w:val="071F2B"/>
          <w:sz w:val="50"/>
        </w:rPr>
        <w:t>Evaluation + Closeout Plan</w:t>
      </w:r>
    </w:p>
    <w:p>
      <w:pPr>
        <w:spacing w:after="240"/>
      </w:pPr>
      <w:r>
        <w:rPr>
          <w:rFonts w:ascii="Calibri" w:hAnsi="Calibri"/>
          <w:b w:val="0"/>
          <w:i w:val="0"/>
          <w:color w:val="607A87"/>
          <w:sz w:val="23"/>
        </w:rPr>
        <w:t>Measure the action, distinguish the claim, and close the data lifecycle.</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300"/>
        <w:gridCol w:w="7060"/>
      </w:tblGrid>
      <w:tr>
        <w:trPr>
          <w:tblHeader w:val="true"/>
        </w:trPr>
        <w:tc>
          <w:tcPr>
            <w:tcW w:type="dxa" w:w="23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WORKING PRODUCT</w:t>
            </w:r>
          </w:p>
        </w:tc>
        <w:tc>
          <w:tcPr>
            <w:tcW w:type="dxa" w:w="70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USE</w:t>
            </w:r>
          </w:p>
        </w:tc>
      </w:tr>
      <w:tr>
        <w:tc>
          <w:tcPr>
            <w:tcW w:type="dxa" w:w="2300"/>
            <w:tcMar>
              <w:top w:w="80" w:type="dxa"/>
              <w:bottom w:w="80" w:type="dxa"/>
              <w:start w:w="120" w:type="dxa"/>
              <w:end w:w="120" w:type="dxa"/>
            </w:tcMar>
            <w:vAlign w:val="center"/>
          </w:tcPr>
          <w:p>
            <w:pPr>
              <w:spacing w:after="0" w:line="259" w:lineRule="auto"/>
            </w:pPr>
            <w:r/>
            <w:r>
              <w:rPr>
                <w:rFonts w:ascii="Calibri" w:hAnsi="Calibri"/>
                <w:b/>
                <w:i w:val="0"/>
                <w:color w:val="287F69"/>
                <w:sz w:val="21"/>
              </w:rPr>
              <w:t>04 · Learn | Measure + Adapt</w:t>
            </w:r>
          </w:p>
        </w:tc>
        <w:tc>
          <w:tcPr>
            <w:tcW w:type="dxa" w:w="7060"/>
            <w:tcMar>
              <w:top w:w="80" w:type="dxa"/>
              <w:bottom w:w="80" w:type="dxa"/>
              <w:start w:w="120" w:type="dxa"/>
              <w:end w:w="120" w:type="dxa"/>
            </w:tcMar>
            <w:vAlign w:val="center"/>
          </w:tcPr>
          <w:p>
            <w:pPr>
              <w:spacing w:after="0" w:line="259" w:lineRule="auto"/>
            </w:pPr>
            <w:r/>
            <w:r>
              <w:rPr>
                <w:rFonts w:ascii="Calibri" w:hAnsi="Calibri"/>
                <w:b w:val="0"/>
                <w:i w:val="0"/>
                <w:color w:val="173746"/>
                <w:sz w:val="21"/>
              </w:rPr>
              <w:t>A disciplined end-of-cycle record. Association, prediction, implementation, and causal evaluation are different claims and must be labeled separately.</w:t>
            </w:r>
          </w:p>
        </w:tc>
      </w:tr>
    </w:tbl>
    <w:tbl>
      <w:tblPr>
        <w:tblW w:type="dxa" w:w="9360"/>
        <w:jc w:val="left"/>
        <w:tblLayout w:type="fixed"/>
        <w:tblLook w:firstColumn="1" w:firstRow="1" w:lastColumn="0" w:lastRow="0" w:noHBand="0" w:noVBand="1" w:val="04A0"/>
        <w:tblInd w:w="120" w:type="dxa"/>
        <w:tblBorders>
          <w:top w:val="single" w:sz="6" w:space="0" w:color="D6B957"/>
          <w:left w:val="single" w:sz="6" w:space="0" w:color="D6B957"/>
          <w:bottom w:val="single" w:sz="6" w:space="0" w:color="D6B957"/>
          <w:right w:val="single" w:sz="6" w:space="0" w:color="D6B957"/>
          <w:insideH w:val="single" w:sz="6" w:space="0" w:color="D6B957"/>
          <w:insideV w:val="single" w:sz="6" w:space="0" w:color="D6B957"/>
        </w:tblBorders>
      </w:tblPr>
      <w:tblGrid>
        <w:gridCol w:w="9360"/>
      </w:tblGrid>
      <w:tr>
        <w:trPr>
          <w:tblHeader w:val="true"/>
        </w:trPr>
        <w:tc>
          <w:tcPr>
            <w:tcW w:type="dxa" w:w="9360"/>
            <w:tcMar>
              <w:top w:w="80" w:type="dxa"/>
              <w:bottom w:w="80" w:type="dxa"/>
              <w:start w:w="120" w:type="dxa"/>
              <w:end w:w="120" w:type="dxa"/>
            </w:tcMar>
            <w:vAlign w:val="center"/>
            <w:shd w:fill="FFF5D8"/>
          </w:tcPr>
          <w:p>
            <w:pPr>
              <w:spacing w:after="0" w:line="259" w:lineRule="auto"/>
            </w:pPr>
            <w:r/>
            <w:r>
              <w:rPr>
                <w:rFonts w:ascii="Calibri" w:hAnsi="Calibri"/>
                <w:b/>
                <w:i w:val="0"/>
                <w:color w:val="6D5200"/>
                <w:sz w:val="18"/>
              </w:rPr>
              <w:t>PUBLIC HANDLING BOUNDARY</w:t>
            </w:r>
          </w:p>
        </w:tc>
      </w:tr>
      <w:tr>
        <w:tc>
          <w:tcPr>
            <w:tcW w:type="dxa" w:w="9360"/>
            <w:tcMar>
              <w:top w:w="80" w:type="dxa"/>
              <w:bottom w:w="80" w:type="dxa"/>
              <w:start w:w="120" w:type="dxa"/>
              <w:end w:w="120" w:type="dxa"/>
            </w:tcMar>
            <w:vAlign w:val="center"/>
            <w:shd w:fill="FFFCF1"/>
          </w:tcPr>
          <w:p>
            <w:pPr>
              <w:spacing w:after="0" w:line="259" w:lineRule="auto"/>
            </w:pPr>
            <w:r/>
            <w:r>
              <w:rPr>
                <w:rFonts w:ascii="Calibri" w:hAnsi="Calibri"/>
                <w:b w:val="0"/>
                <w:i w:val="0"/>
                <w:color w:val="173746"/>
                <w:sz w:val="19"/>
              </w:rPr>
              <w:t>Use only blank or synthetic information in this public template. Do not enter or transmit classified information, CUI, personal or clinical information, case narratives, real unit identifiers, or identifiable operational information.</w:t>
            </w:r>
          </w:p>
        </w:tc>
      </w:tr>
    </w:tbl>
    <w:p>
      <w:pPr>
        <w:pStyle w:val="Heading1"/>
      </w:pPr>
      <w:r>
        <w:t>1. Evaluation design</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700"/>
        <w:gridCol w:w="6660"/>
      </w:tblGrid>
      <w:tr>
        <w:trPr>
          <w:tblHeader w:val="true"/>
        </w:trPr>
        <w:tc>
          <w:tcPr>
            <w:tcW w:type="dxa" w:w="27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FIELD</w:t>
            </w:r>
          </w:p>
        </w:tc>
        <w:tc>
          <w:tcPr>
            <w:tcW w:type="dxa" w:w="66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WORKING ENTRY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Support implemented</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What was actually delivered, to whom, and at what intensity?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Unit + timing</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Approved aggregate unit and implementation dates</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Pre / follow-up</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Baseline and follow-up periods</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Outcome + denominator</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Operational definition and source</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Comparison strategy</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Baseline, matched comparison, phased rollout, or other design</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Assumptions</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Conditions required for the intended interpretation</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Sensitivity</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Robustness, falsification, and alternative-explanation checks</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Implementation fidelity</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What confirms the action occurred as intended</w:t>
            </w:r>
          </w:p>
        </w:tc>
      </w:tr>
    </w:tbl>
    <w:p>
      <w:pPr>
        <w:pStyle w:val="Heading1"/>
      </w:pPr>
      <w:r>
        <w:t>2. Learning review</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700"/>
        <w:gridCol w:w="6660"/>
      </w:tblGrid>
      <w:tr>
        <w:trPr>
          <w:tblHeader w:val="true"/>
        </w:trPr>
        <w:tc>
          <w:tcPr>
            <w:tcW w:type="dxa" w:w="27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FIELD</w:t>
            </w:r>
          </w:p>
        </w:tc>
        <w:tc>
          <w:tcPr>
            <w:tcW w:type="dxa" w:w="66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WORKING ENTRY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What changed</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Results and uncertainty at the approved aggregate level</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What did not change</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Null, mixed, or delayed results</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Alternative explanations</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Reporting, composition, timing, or concurrent events</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Limits</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Design, data, transportability, and implementation limits</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Next decision</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Sustain / adapt / stop / investigate further</w:t>
            </w:r>
          </w:p>
        </w:tc>
      </w:tr>
    </w:tbl>
    <w:p>
      <w:pPr>
        <w:pStyle w:val="Heading1"/>
      </w:pPr>
      <w:r>
        <w:t>3. Reproducibility and disposition</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700"/>
        <w:gridCol w:w="6660"/>
      </w:tblGrid>
      <w:tr>
        <w:trPr>
          <w:tblHeader w:val="true"/>
        </w:trPr>
        <w:tc>
          <w:tcPr>
            <w:tcW w:type="dxa" w:w="27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FIELD</w:t>
            </w:r>
          </w:p>
        </w:tc>
        <w:tc>
          <w:tcPr>
            <w:tcW w:type="dxa" w:w="66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WORKING ENTRY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Frozen data hash</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SHA-256 fingerprint</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Code / container</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Versioned environment</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Output package</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Approved tables, figures, memo, and run record</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Analyst + reviewer</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Roles and review date</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Approved export</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Exactly what may leave the analysis environment</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Release review</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Internal / partner-limited / public / not releasable</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Raw-data deletion</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Date and method</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Backup expiration</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Date</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Deletion verification</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Accountable owner and evidence</w:t>
            </w:r>
          </w:p>
        </w:tc>
      </w:tr>
    </w:tbl>
    <w:p>
      <w:pPr>
        <w:pStyle w:val="Heading1"/>
      </w:pPr>
      <w:r>
        <w:t>4. Cycle closeout</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4700"/>
        <w:gridCol w:w="2860"/>
        <w:gridCol w:w="1800"/>
      </w:tblGrid>
      <w:tr>
        <w:trPr>
          <w:tblHeader w:val="true"/>
        </w:trPr>
        <w:tc>
          <w:tcPr>
            <w:tcW w:type="dxa" w:w="47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7"/>
              </w:rPr>
              <w:t>REQUIREMENT</w:t>
            </w:r>
          </w:p>
        </w:tc>
        <w:tc>
          <w:tcPr>
            <w:tcW w:type="dxa" w:w="28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7"/>
              </w:rPr>
              <w:t>EVIDENCE / OWNER</w:t>
            </w:r>
          </w:p>
        </w:tc>
        <w:tc>
          <w:tcPr>
            <w:tcW w:type="dxa" w:w="18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7"/>
              </w:rPr>
              <w:t>DISPOSITION</w:t>
            </w:r>
          </w:p>
        </w:tc>
      </w:tr>
      <w:tr>
        <w:tc>
          <w:tcPr>
            <w:tcW w:type="dxa" w:w="4700"/>
            <w:tcMar>
              <w:top w:w="80" w:type="dxa"/>
              <w:bottom w:w="80" w:type="dxa"/>
              <w:start w:w="120" w:type="dxa"/>
              <w:end w:w="120" w:type="dxa"/>
            </w:tcMar>
          </w:tcPr>
          <w:p>
            <w:pPr>
              <w:spacing w:after="0" w:line="259" w:lineRule="auto"/>
            </w:pPr>
            <w:r/>
            <w:r>
              <w:rPr>
                <w:rFonts w:ascii="Calibri" w:hAnsi="Calibri"/>
                <w:b w:val="0"/>
                <w:i w:val="0"/>
                <w:color w:val="173746"/>
                <w:sz w:val="19"/>
              </w:rPr>
              <w:t>Claim language matches the evidence and design.</w:t>
            </w:r>
          </w:p>
        </w:tc>
        <w:tc>
          <w:tcPr>
            <w:tcW w:type="dxa" w:w="2860"/>
            <w:tcMar>
              <w:top w:w="80" w:type="dxa"/>
              <w:bottom w:w="80" w:type="dxa"/>
              <w:start w:w="120" w:type="dxa"/>
              <w:end w:w="120" w:type="dxa"/>
            </w:tcMar>
          </w:tcPr>
          <w:p>
            <w:pPr>
              <w:spacing w:after="0" w:line="259" w:lineRule="auto"/>
            </w:pPr>
            <w:r/>
            <w:r>
              <w:rPr>
                <w:rFonts w:ascii="Calibri" w:hAnsi="Calibri"/>
                <w:b w:val="0"/>
                <w:i/>
                <w:color w:val="607A87"/>
                <w:sz w:val="18"/>
              </w:rPr>
              <w:t>Reviewer record</w:t>
            </w:r>
          </w:p>
        </w:tc>
        <w:tc>
          <w:tcPr>
            <w:tcW w:type="dxa" w:w="1800"/>
            <w:shd w:fill="F2F6F7"/>
            <w:tcMar>
              <w:top w:w="80" w:type="dxa"/>
              <w:bottom w:w="80" w:type="dxa"/>
              <w:start w:w="120" w:type="dxa"/>
              <w:end w:w="120" w:type="dxa"/>
            </w:tcMar>
          </w:tcPr>
          <w:p>
            <w:pPr>
              <w:spacing w:after="0" w:line="259" w:lineRule="auto"/>
            </w:pPr>
            <w:r/>
            <w:r>
              <w:rPr>
                <w:rFonts w:ascii="Calibri" w:hAnsi="Calibri"/>
                <w:b w:val="0"/>
                <w:i/>
                <w:color w:val="607A87"/>
                <w:sz w:val="18"/>
              </w:rPr>
              <w:t>Not reviewed</w:t>
            </w:r>
          </w:p>
        </w:tc>
      </w:tr>
      <w:tr>
        <w:tc>
          <w:tcPr>
            <w:tcW w:type="dxa" w:w="4700"/>
            <w:tcMar>
              <w:top w:w="80" w:type="dxa"/>
              <w:bottom w:w="80" w:type="dxa"/>
              <w:start w:w="120" w:type="dxa"/>
              <w:end w:w="120" w:type="dxa"/>
            </w:tcMar>
          </w:tcPr>
          <w:p>
            <w:pPr>
              <w:spacing w:after="0" w:line="259" w:lineRule="auto"/>
            </w:pPr>
            <w:r/>
            <w:r>
              <w:rPr>
                <w:rFonts w:ascii="Calibri" w:hAnsi="Calibri"/>
                <w:b w:val="0"/>
                <w:i w:val="0"/>
                <w:color w:val="173746"/>
                <w:sz w:val="19"/>
              </w:rPr>
              <w:t>The commander decision and rationale are recorded.</w:t>
            </w:r>
          </w:p>
        </w:tc>
        <w:tc>
          <w:tcPr>
            <w:tcW w:type="dxa" w:w="2860"/>
            <w:tcMar>
              <w:top w:w="80" w:type="dxa"/>
              <w:bottom w:w="80" w:type="dxa"/>
              <w:start w:w="120" w:type="dxa"/>
              <w:end w:w="120" w:type="dxa"/>
            </w:tcMar>
          </w:tcPr>
          <w:p>
            <w:pPr>
              <w:spacing w:after="0" w:line="259" w:lineRule="auto"/>
            </w:pPr>
            <w:r/>
            <w:r>
              <w:rPr>
                <w:rFonts w:ascii="Calibri" w:hAnsi="Calibri"/>
                <w:b w:val="0"/>
                <w:i/>
                <w:color w:val="607A87"/>
                <w:sz w:val="18"/>
              </w:rPr>
              <w:t>Decision record</w:t>
            </w:r>
          </w:p>
        </w:tc>
        <w:tc>
          <w:tcPr>
            <w:tcW w:type="dxa" w:w="1800"/>
            <w:shd w:fill="F2F6F7"/>
            <w:tcMar>
              <w:top w:w="80" w:type="dxa"/>
              <w:bottom w:w="80" w:type="dxa"/>
              <w:start w:w="120" w:type="dxa"/>
              <w:end w:w="120" w:type="dxa"/>
            </w:tcMar>
          </w:tcPr>
          <w:p>
            <w:pPr>
              <w:spacing w:after="0" w:line="259" w:lineRule="auto"/>
            </w:pPr>
            <w:r/>
            <w:r>
              <w:rPr>
                <w:rFonts w:ascii="Calibri" w:hAnsi="Calibri"/>
                <w:b w:val="0"/>
                <w:i/>
                <w:color w:val="607A87"/>
                <w:sz w:val="18"/>
              </w:rPr>
              <w:t>Not reviewed</w:t>
            </w:r>
          </w:p>
        </w:tc>
      </w:tr>
      <w:tr>
        <w:tc>
          <w:tcPr>
            <w:tcW w:type="dxa" w:w="4700"/>
            <w:tcMar>
              <w:top w:w="80" w:type="dxa"/>
              <w:bottom w:w="80" w:type="dxa"/>
              <w:start w:w="120" w:type="dxa"/>
              <w:end w:w="120" w:type="dxa"/>
            </w:tcMar>
          </w:tcPr>
          <w:p>
            <w:pPr>
              <w:spacing w:after="0" w:line="259" w:lineRule="auto"/>
            </w:pPr>
            <w:r/>
            <w:r>
              <w:rPr>
                <w:rFonts w:ascii="Calibri" w:hAnsi="Calibri"/>
                <w:b w:val="0"/>
                <w:i w:val="0"/>
                <w:color w:val="173746"/>
                <w:sz w:val="19"/>
              </w:rPr>
              <w:t>Approved outputs are delivered and exports are logged.</w:t>
            </w:r>
          </w:p>
        </w:tc>
        <w:tc>
          <w:tcPr>
            <w:tcW w:type="dxa" w:w="2860"/>
            <w:tcMar>
              <w:top w:w="80" w:type="dxa"/>
              <w:bottom w:w="80" w:type="dxa"/>
              <w:start w:w="120" w:type="dxa"/>
              <w:end w:w="120" w:type="dxa"/>
            </w:tcMar>
          </w:tcPr>
          <w:p>
            <w:pPr>
              <w:spacing w:after="0" w:line="259" w:lineRule="auto"/>
            </w:pPr>
            <w:r/>
            <w:r>
              <w:rPr>
                <w:rFonts w:ascii="Calibri" w:hAnsi="Calibri"/>
                <w:b w:val="0"/>
                <w:i/>
                <w:color w:val="607A87"/>
                <w:sz w:val="18"/>
              </w:rPr>
              <w:t>Export log</w:t>
            </w:r>
          </w:p>
        </w:tc>
        <w:tc>
          <w:tcPr>
            <w:tcW w:type="dxa" w:w="1800"/>
            <w:shd w:fill="F2F6F7"/>
            <w:tcMar>
              <w:top w:w="80" w:type="dxa"/>
              <w:bottom w:w="80" w:type="dxa"/>
              <w:start w:w="120" w:type="dxa"/>
              <w:end w:w="120" w:type="dxa"/>
            </w:tcMar>
          </w:tcPr>
          <w:p>
            <w:pPr>
              <w:spacing w:after="0" w:line="259" w:lineRule="auto"/>
            </w:pPr>
            <w:r/>
            <w:r>
              <w:rPr>
                <w:rFonts w:ascii="Calibri" w:hAnsi="Calibri"/>
                <w:b w:val="0"/>
                <w:i/>
                <w:color w:val="607A87"/>
                <w:sz w:val="18"/>
              </w:rPr>
              <w:t>Not reviewed</w:t>
            </w:r>
          </w:p>
        </w:tc>
      </w:tr>
      <w:tr>
        <w:tc>
          <w:tcPr>
            <w:tcW w:type="dxa" w:w="4700"/>
            <w:tcMar>
              <w:top w:w="80" w:type="dxa"/>
              <w:bottom w:w="80" w:type="dxa"/>
              <w:start w:w="120" w:type="dxa"/>
              <w:end w:w="120" w:type="dxa"/>
            </w:tcMar>
          </w:tcPr>
          <w:p>
            <w:pPr>
              <w:spacing w:after="0" w:line="259" w:lineRule="auto"/>
            </w:pPr>
            <w:r/>
            <w:r>
              <w:rPr>
                <w:rFonts w:ascii="Calibri" w:hAnsi="Calibri"/>
                <w:b w:val="0"/>
                <w:i w:val="0"/>
                <w:color w:val="173746"/>
                <w:sz w:val="19"/>
              </w:rPr>
              <w:t>Retention or deletion is verified.</w:t>
            </w:r>
          </w:p>
        </w:tc>
        <w:tc>
          <w:tcPr>
            <w:tcW w:type="dxa" w:w="2860"/>
            <w:tcMar>
              <w:top w:w="80" w:type="dxa"/>
              <w:bottom w:w="80" w:type="dxa"/>
              <w:start w:w="120" w:type="dxa"/>
              <w:end w:w="120" w:type="dxa"/>
            </w:tcMar>
          </w:tcPr>
          <w:p>
            <w:pPr>
              <w:spacing w:after="0" w:line="259" w:lineRule="auto"/>
            </w:pPr>
            <w:r/>
            <w:r>
              <w:rPr>
                <w:rFonts w:ascii="Calibri" w:hAnsi="Calibri"/>
                <w:b w:val="0"/>
                <w:i/>
                <w:color w:val="607A87"/>
                <w:sz w:val="18"/>
              </w:rPr>
              <w:t>Disposition evidence</w:t>
            </w:r>
          </w:p>
        </w:tc>
        <w:tc>
          <w:tcPr>
            <w:tcW w:type="dxa" w:w="1800"/>
            <w:shd w:fill="F2F6F7"/>
            <w:tcMar>
              <w:top w:w="80" w:type="dxa"/>
              <w:bottom w:w="80" w:type="dxa"/>
              <w:start w:w="120" w:type="dxa"/>
              <w:end w:w="120" w:type="dxa"/>
            </w:tcMar>
          </w:tcPr>
          <w:p>
            <w:pPr>
              <w:spacing w:after="0" w:line="259" w:lineRule="auto"/>
            </w:pPr>
            <w:r/>
            <w:r>
              <w:rPr>
                <w:rFonts w:ascii="Calibri" w:hAnsi="Calibri"/>
                <w:b w:val="0"/>
                <w:i/>
                <w:color w:val="607A87"/>
                <w:sz w:val="18"/>
              </w:rPr>
              <w:t>Not reviewed</w:t>
            </w:r>
          </w:p>
        </w:tc>
      </w:tr>
      <w:tr>
        <w:tc>
          <w:tcPr>
            <w:tcW w:type="dxa" w:w="4700"/>
            <w:tcMar>
              <w:top w:w="80" w:type="dxa"/>
              <w:bottom w:w="80" w:type="dxa"/>
              <w:start w:w="120" w:type="dxa"/>
              <w:end w:w="120" w:type="dxa"/>
            </w:tcMar>
          </w:tcPr>
          <w:p>
            <w:pPr>
              <w:spacing w:after="0" w:line="259" w:lineRule="auto"/>
            </w:pPr>
            <w:r/>
            <w:r>
              <w:rPr>
                <w:rFonts w:ascii="Calibri" w:hAnsi="Calibri"/>
                <w:b w:val="0"/>
                <w:i w:val="0"/>
                <w:color w:val="173746"/>
                <w:sz w:val="19"/>
              </w:rPr>
              <w:t>The next learning question is opened or the engagement is closed.</w:t>
            </w:r>
          </w:p>
        </w:tc>
        <w:tc>
          <w:tcPr>
            <w:tcW w:type="dxa" w:w="2860"/>
            <w:tcMar>
              <w:top w:w="80" w:type="dxa"/>
              <w:bottom w:w="80" w:type="dxa"/>
              <w:start w:w="120" w:type="dxa"/>
              <w:end w:w="120" w:type="dxa"/>
            </w:tcMar>
          </w:tcPr>
          <w:p>
            <w:pPr>
              <w:spacing w:after="0" w:line="259" w:lineRule="auto"/>
            </w:pPr>
            <w:r/>
            <w:r>
              <w:rPr>
                <w:rFonts w:ascii="Calibri" w:hAnsi="Calibri"/>
                <w:b w:val="0"/>
                <w:i/>
                <w:color w:val="607A87"/>
                <w:sz w:val="18"/>
              </w:rPr>
              <w:t>Next action</w:t>
            </w:r>
          </w:p>
        </w:tc>
        <w:tc>
          <w:tcPr>
            <w:tcW w:type="dxa" w:w="1800"/>
            <w:shd w:fill="F2F6F7"/>
            <w:tcMar>
              <w:top w:w="80" w:type="dxa"/>
              <w:bottom w:w="80" w:type="dxa"/>
              <w:start w:w="120" w:type="dxa"/>
              <w:end w:w="120" w:type="dxa"/>
            </w:tcMar>
          </w:tcPr>
          <w:p>
            <w:pPr>
              <w:spacing w:after="0" w:line="259" w:lineRule="auto"/>
            </w:pPr>
            <w:r/>
            <w:r>
              <w:rPr>
                <w:rFonts w:ascii="Calibri" w:hAnsi="Calibri"/>
                <w:b w:val="0"/>
                <w:i/>
                <w:color w:val="607A87"/>
                <w:sz w:val="18"/>
              </w:rPr>
              <w:t>Not reviewed</w:t>
            </w:r>
          </w:p>
        </w:tc>
      </w:tr>
    </w:tbl>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340"/>
        <w:gridCol w:w="2340"/>
        <w:gridCol w:w="2340"/>
        <w:gridCol w:w="2340"/>
      </w:tblGrid>
      <w:tr>
        <w:trPr>
          <w:tblHeader w:val="true"/>
        </w:trPr>
        <w:tc>
          <w:tcPr>
            <w:tcW w:type="dxa" w:w="2340"/>
            <w:tcMar>
              <w:top w:w="80" w:type="dxa"/>
              <w:bottom w:w="80" w:type="dxa"/>
              <w:start w:w="120" w:type="dxa"/>
              <w:end w:w="120" w:type="dxa"/>
            </w:tcMar>
            <w:vAlign w:val="center"/>
            <w:shd w:fill="287F69"/>
          </w:tcPr>
          <w:p>
            <w:pPr>
              <w:spacing w:after="0" w:line="259" w:lineRule="auto"/>
            </w:pPr>
            <w:r/>
            <w:r>
              <w:rPr>
                <w:rFonts w:ascii="Calibri" w:hAnsi="Calibri"/>
                <w:b/>
                <w:i w:val="0"/>
                <w:color w:val="FFFFFF"/>
                <w:sz w:val="17"/>
              </w:rPr>
              <w:t>DECISION OWNER</w:t>
            </w:r>
          </w:p>
        </w:tc>
        <w:tc>
          <w:tcPr>
            <w:tcW w:type="dxa" w:w="2340"/>
            <w:tcMar>
              <w:top w:w="80" w:type="dxa"/>
              <w:bottom w:w="80" w:type="dxa"/>
              <w:start w:w="120" w:type="dxa"/>
              <w:end w:w="120" w:type="dxa"/>
            </w:tcMar>
            <w:vAlign w:val="center"/>
            <w:shd w:fill="287F69"/>
          </w:tcPr>
          <w:p>
            <w:pPr>
              <w:spacing w:after="0" w:line="259" w:lineRule="auto"/>
            </w:pPr>
            <w:r/>
            <w:r>
              <w:rPr>
                <w:rFonts w:ascii="Calibri" w:hAnsi="Calibri"/>
                <w:b/>
                <w:i w:val="0"/>
                <w:color w:val="FFFFFF"/>
                <w:sz w:val="17"/>
              </w:rPr>
              <w:t>ANALYST</w:t>
            </w:r>
          </w:p>
        </w:tc>
        <w:tc>
          <w:tcPr>
            <w:tcW w:type="dxa" w:w="2340"/>
            <w:tcMar>
              <w:top w:w="80" w:type="dxa"/>
              <w:bottom w:w="80" w:type="dxa"/>
              <w:start w:w="120" w:type="dxa"/>
              <w:end w:w="120" w:type="dxa"/>
            </w:tcMar>
            <w:vAlign w:val="center"/>
            <w:shd w:fill="287F69"/>
          </w:tcPr>
          <w:p>
            <w:pPr>
              <w:spacing w:after="0" w:line="259" w:lineRule="auto"/>
            </w:pPr>
            <w:r/>
            <w:r>
              <w:rPr>
                <w:rFonts w:ascii="Calibri" w:hAnsi="Calibri"/>
                <w:b/>
                <w:i w:val="0"/>
                <w:color w:val="FFFFFF"/>
                <w:sz w:val="17"/>
              </w:rPr>
              <w:t>INDEPENDENT REVIEWER</w:t>
            </w:r>
          </w:p>
        </w:tc>
        <w:tc>
          <w:tcPr>
            <w:tcW w:type="dxa" w:w="2340"/>
            <w:tcMar>
              <w:top w:w="80" w:type="dxa"/>
              <w:bottom w:w="80" w:type="dxa"/>
              <w:start w:w="120" w:type="dxa"/>
              <w:end w:w="120" w:type="dxa"/>
            </w:tcMar>
            <w:vAlign w:val="center"/>
            <w:shd w:fill="287F69"/>
          </w:tcPr>
          <w:p>
            <w:pPr>
              <w:spacing w:after="0" w:line="259" w:lineRule="auto"/>
            </w:pPr>
            <w:r/>
            <w:r>
              <w:rPr>
                <w:rFonts w:ascii="Calibri" w:hAnsi="Calibri"/>
                <w:b/>
                <w:i w:val="0"/>
                <w:color w:val="FFFFFF"/>
                <w:sz w:val="17"/>
              </w:rPr>
              <w:t>DATA STEWARD</w:t>
            </w:r>
          </w:p>
        </w:tc>
      </w:tr>
      <w:tr>
        <w:tc>
          <w:tcPr>
            <w:tcW w:type="dxa" w:w="2340"/>
            <w:tcMar>
              <w:top w:w="80" w:type="dxa"/>
              <w:bottom w:w="80" w:type="dxa"/>
              <w:start w:w="120" w:type="dxa"/>
              <w:end w:w="120" w:type="dxa"/>
            </w:tcMar>
            <w:vAlign w:val="center"/>
            <w:shd w:fill="FBFCFC"/>
          </w:tcPr>
          <w:p>
            <w:pPr>
              <w:spacing w:after="0" w:line="259" w:lineRule="auto"/>
            </w:pPr>
            <w:r/>
            <w:r>
              <w:rPr>
                <w:rFonts w:ascii="Calibri" w:hAnsi="Calibri"/>
                <w:b w:val="0"/>
                <w:i/>
                <w:color w:val="607A87"/>
                <w:sz w:val="19"/>
              </w:rPr>
              <w:t>Enter…</w:t>
            </w:r>
          </w:p>
        </w:tc>
        <w:tc>
          <w:tcPr>
            <w:tcW w:type="dxa" w:w="2340"/>
            <w:tcMar>
              <w:top w:w="80" w:type="dxa"/>
              <w:bottom w:w="80" w:type="dxa"/>
              <w:start w:w="120" w:type="dxa"/>
              <w:end w:w="120" w:type="dxa"/>
            </w:tcMar>
            <w:vAlign w:val="center"/>
            <w:shd w:fill="FBFCFC"/>
          </w:tcPr>
          <w:p>
            <w:pPr>
              <w:spacing w:after="0" w:line="259" w:lineRule="auto"/>
            </w:pPr>
            <w:r/>
            <w:r>
              <w:rPr>
                <w:rFonts w:ascii="Calibri" w:hAnsi="Calibri"/>
                <w:b w:val="0"/>
                <w:i/>
                <w:color w:val="607A87"/>
                <w:sz w:val="19"/>
              </w:rPr>
              <w:t>Enter…</w:t>
            </w:r>
          </w:p>
        </w:tc>
        <w:tc>
          <w:tcPr>
            <w:tcW w:type="dxa" w:w="2340"/>
            <w:tcMar>
              <w:top w:w="80" w:type="dxa"/>
              <w:bottom w:w="80" w:type="dxa"/>
              <w:start w:w="120" w:type="dxa"/>
              <w:end w:w="120" w:type="dxa"/>
            </w:tcMar>
            <w:vAlign w:val="center"/>
            <w:shd w:fill="FBFCFC"/>
          </w:tcPr>
          <w:p>
            <w:pPr>
              <w:spacing w:after="0" w:line="259" w:lineRule="auto"/>
            </w:pPr>
            <w:r/>
            <w:r>
              <w:rPr>
                <w:rFonts w:ascii="Calibri" w:hAnsi="Calibri"/>
                <w:b w:val="0"/>
                <w:i/>
                <w:color w:val="607A87"/>
                <w:sz w:val="19"/>
              </w:rPr>
              <w:t>Enter…</w:t>
            </w:r>
          </w:p>
        </w:tc>
        <w:tc>
          <w:tcPr>
            <w:tcW w:type="dxa" w:w="2340"/>
            <w:tcMar>
              <w:top w:w="80" w:type="dxa"/>
              <w:bottom w:w="80" w:type="dxa"/>
              <w:start w:w="120" w:type="dxa"/>
              <w:end w:w="120" w:type="dxa"/>
            </w:tcMar>
            <w:vAlign w:val="center"/>
            <w:shd w:fill="FBFCFC"/>
          </w:tcPr>
          <w:p>
            <w:pPr>
              <w:spacing w:after="0" w:line="259" w:lineRule="auto"/>
            </w:pPr>
            <w:r/>
            <w:r>
              <w:rPr>
                <w:rFonts w:ascii="Calibri" w:hAnsi="Calibri"/>
                <w:b w:val="0"/>
                <w:i/>
                <w:color w:val="607A87"/>
                <w:sz w:val="19"/>
              </w:rPr>
              <w:t>Enter…</w:t>
            </w:r>
          </w:p>
        </w:tc>
      </w:tr>
    </w:tbl>
    <w:sectPr w:rsidR="00FC693F" w:rsidRPr="0006063C" w:rsidSect="00034616">
      <w:headerReference w:type="default" r:id="rId9"/>
      <w:footerReference w:type="default" r:id="rId10"/>
      <w:pgSz w:w="12240" w:h="15840"/>
      <w:pgMar w:top="1008" w:right="1440" w:bottom="1008"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left"/>
    </w:pPr>
    <w:r>
      <w:rPr>
        <w:rFonts w:ascii="Calibri" w:hAnsi="Calibri"/>
        <w:b w:val="0"/>
        <w:i w:val="0"/>
        <w:color w:val="607A87"/>
        <w:sz w:val="17"/>
      </w:rPr>
      <w:t>Public prototype · blank or synthetic information only</w:t>
    </w:r>
  </w:p>
  <w:p>
    <w:pPr>
      <w:spacing w:before="0" w:after="0"/>
      <w:jc w:val="right"/>
    </w:pPr>
    <w:r>
      <w:rPr>
        <w:rFonts w:ascii="Calibri" w:hAnsi="Calibri"/>
        <w:b w:val="0"/>
        <w:i w:val="0"/>
        <w:color w:val="607A87"/>
        <w:sz w:val="17"/>
      </w:rPr>
      <w:t xml:space="preserve">Page </w:t>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287F69"/>
        <w:sz w:val="17"/>
      </w:rPr>
      <w:t>MP2 FIELD LAB</w:t>
    </w:r>
    <w:r>
      <w:rPr>
        <w:rFonts w:ascii="Calibri" w:hAnsi="Calibri"/>
        <w:b/>
        <w:i w:val="0"/>
        <w:color w:val="607A87"/>
        <w:sz w:val="17"/>
      </w:rPr>
      <w:t xml:space="preserve">  |  EVALUATION CLOSEOUT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73746"/>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87F69"/>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87F69"/>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071F2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 Evaluation and Closeout Plan</dc:title>
  <dc:subject>MP2 Field Lab public working template</dc:subject>
  <dc:creator/>
  <cp:keywords>MP2, Field Lab, public template, synthetic data</cp:keywords>
  <dc:description>Public prototype. Blank and synthetic information only.</dc:description>
  <cp:lastModifiedBy/>
  <cp:revision>1</cp:revision>
  <dcterms:created xsi:type="dcterms:W3CDTF">2013-12-23T23:15:00Z</dcterms:created>
  <dcterms:modified xsi:type="dcterms:W3CDTF">2013-12-23T23:15:00Z</dcterms:modified>
  <cp:category/>
</cp:coreProperties>
</file>